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78" w:rsidRDefault="005143C0" w:rsidP="006F2978">
      <w:pPr>
        <w:keepNext/>
        <w:keepLines/>
        <w:tabs>
          <w:tab w:val="left" w:pos="0"/>
        </w:tabs>
        <w:spacing w:after="0" w:line="240" w:lineRule="auto"/>
        <w:ind w:left="1040" w:hanging="1040"/>
        <w:outlineLvl w:val="1"/>
        <w:rPr>
          <w:rFonts w:ascii="Arial"/>
          <w:b/>
          <w:color w:val="000000"/>
          <w:lang w:val="de-AT"/>
        </w:rPr>
      </w:pPr>
      <w:r w:rsidRPr="006F2978">
        <w:rPr>
          <w:rFonts w:ascii="Arial" w:hAnsi="Arial"/>
          <w:b/>
          <w:lang w:val="de-AT"/>
        </w:rPr>
        <w:t>1</w:t>
      </w:r>
      <w:r w:rsidRPr="006F2978">
        <w:rPr>
          <w:rFonts w:ascii="Arial" w:hAnsi="Arial"/>
          <w:b/>
          <w:lang w:val="de-AT"/>
        </w:rPr>
        <w:tab/>
      </w:r>
      <w:r w:rsidR="006F2978">
        <w:rPr>
          <w:rFonts w:ascii="Arial" w:hAnsi="Arial"/>
          <w:b/>
          <w:lang w:val="de-AT"/>
        </w:rPr>
        <w:t xml:space="preserve">König Stahl </w:t>
      </w:r>
      <w:proofErr w:type="spellStart"/>
      <w:r w:rsidR="006F2978">
        <w:rPr>
          <w:rFonts w:ascii="Arial" w:hAnsi="Arial"/>
          <w:b/>
          <w:lang w:val="de-AT"/>
        </w:rPr>
        <w:t>Sp</w:t>
      </w:r>
      <w:proofErr w:type="spellEnd"/>
      <w:r w:rsidR="006F2978">
        <w:rPr>
          <w:rFonts w:ascii="Arial" w:hAnsi="Arial"/>
          <w:b/>
          <w:lang w:val="de-AT"/>
        </w:rPr>
        <w:t xml:space="preserve">. z </w:t>
      </w:r>
      <w:proofErr w:type="spellStart"/>
      <w:r w:rsidR="006F2978">
        <w:rPr>
          <w:rFonts w:ascii="Arial" w:hAnsi="Arial"/>
          <w:b/>
          <w:lang w:val="de-AT"/>
        </w:rPr>
        <w:t>o.o.</w:t>
      </w:r>
      <w:proofErr w:type="spellEnd"/>
      <w:r w:rsidR="006F2978">
        <w:rPr>
          <w:rFonts w:ascii="Arial" w:hAnsi="Arial"/>
          <w:b/>
          <w:lang w:val="de-AT"/>
        </w:rPr>
        <w:t xml:space="preserve"> </w:t>
      </w:r>
    </w:p>
    <w:p w:rsidR="006F2978" w:rsidRDefault="006F2978" w:rsidP="006F2978">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6F2978" w:rsidRDefault="006F2978" w:rsidP="006F2978">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1B7607" w:rsidRPr="006F2978" w:rsidRDefault="006F2978" w:rsidP="006F2978">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5143C0" w:rsidRPr="006F2978">
        <w:rPr>
          <w:rFonts w:ascii="Arial" w:hAnsi="Arial"/>
          <w:sz w:val="20"/>
          <w:lang w:val="de-AT"/>
        </w:rPr>
        <w:br/>
      </w:r>
    </w:p>
    <w:p w:rsidR="001B7607" w:rsidRPr="006F2978" w:rsidRDefault="005143C0">
      <w:pPr>
        <w:keepNext/>
        <w:keepLines/>
        <w:spacing w:before="100" w:after="100" w:line="240" w:lineRule="auto"/>
        <w:ind w:left="1040"/>
        <w:outlineLvl w:val="2"/>
        <w:rPr>
          <w:rFonts w:ascii="Arial"/>
          <w:b/>
          <w:color w:val="000000"/>
          <w:sz w:val="20"/>
          <w:lang w:val="de-AT"/>
        </w:rPr>
      </w:pPr>
      <w:r w:rsidRPr="006F2978">
        <w:rPr>
          <w:rFonts w:ascii="Arial" w:hAnsi="Arial"/>
          <w:b/>
          <w:sz w:val="20"/>
          <w:lang w:val="de-AT"/>
        </w:rPr>
        <w:t>Janisol 2 EI30 Brandschutzschiebetüre mit Fluchtwegfunktion</w:t>
      </w:r>
    </w:p>
    <w:p w:rsidR="001B7607" w:rsidRPr="006F2978" w:rsidRDefault="005143C0">
      <w:pPr>
        <w:keepNext/>
        <w:keepLines/>
        <w:spacing w:before="100" w:after="100" w:line="240" w:lineRule="auto"/>
        <w:ind w:left="1040"/>
        <w:rPr>
          <w:rFonts w:ascii="Arial"/>
          <w:color w:val="000000"/>
          <w:sz w:val="20"/>
          <w:lang w:val="de-AT"/>
        </w:rPr>
      </w:pPr>
      <w:r>
        <w:rPr>
          <w:noProof/>
        </w:rPr>
        <w:drawing>
          <wp:inline distT="0" distB="0" distL="0" distR="0">
            <wp:extent cx="1323975"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1323975" cy="571500"/>
                    </a:xfrm>
                    <a:prstGeom prst="rect">
                      <a:avLst/>
                    </a:prstGeom>
                  </pic:spPr>
                </pic:pic>
              </a:graphicData>
            </a:graphic>
          </wp:inline>
        </w:drawing>
      </w:r>
      <w:r w:rsidRPr="006F2978">
        <w:rPr>
          <w:rFonts w:ascii="Arial" w:hAnsi="Arial"/>
          <w:sz w:val="20"/>
          <w:lang w:val="de-AT"/>
        </w:rPr>
        <w:t xml:space="preserve">   </w:t>
      </w:r>
    </w:p>
    <w:p w:rsidR="001B7607" w:rsidRPr="006F2978" w:rsidRDefault="005143C0">
      <w:pPr>
        <w:keepNext/>
        <w:keepLines/>
        <w:spacing w:before="100" w:after="100" w:line="240" w:lineRule="auto"/>
        <w:ind w:left="1040"/>
        <w:rPr>
          <w:rFonts w:ascii="Arial"/>
          <w:color w:val="000000"/>
          <w:sz w:val="20"/>
          <w:lang w:val="de-AT"/>
        </w:rPr>
      </w:pPr>
      <w:bookmarkStart w:id="0" w:name="_GoBack"/>
      <w:bookmarkEnd w:id="0"/>
      <w:r w:rsidRPr="006F2978">
        <w:rPr>
          <w:rFonts w:ascii="Arial" w:hAnsi="Arial"/>
          <w:sz w:val="20"/>
          <w:lang w:val="de-AT"/>
        </w:rPr>
        <w:t>Brandschutz-Schiebetürmit Fluchtwegfunktion aus thermisch getrennten Stahlprofilen</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 </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u w:val="single"/>
          <w:lang w:val="de-AT"/>
        </w:rPr>
        <w:t>Konstruktionsmerkmale:</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Das thermisch getrennte Stahlsystem Janisol 2 EI30 besteht aus zwei kaltgewalzten Stahlhalbschalen und durchgehenden, glasfaserverstärkten Isolatoren. Die hochwertigen Isolierstege verbinden die Halbschalen der Profile kraft- und formschlüssig. Kurzfristigen Temperaturerhöhungen während der Schweissung halten diese ohne Abschmelzen oder Abbrennen Stand. Der Nachweis betreffend Schubverbund gemäss EN 14024 ist zu erbringen. Alle Eck- und T-Verbindungen sind durch Schweissungen kraftschlüssig zu verbinden. Die sichtbaren Schweissstellen sind sauber zu verschleifen. Die Türflügel- und Rahmenprofile weisen eine Körperbreite von 25mm, 50mm und 85mm (ohne Anschläge) auf. Bei den Fluchttür-Funktionen Break-In und/oder Break-Out sind die Türflügel mit seitlicher und oberer doppelter Anschlagdichtung mit dem Rahmen flächenbündig. Die Schattenfuge seitlich und oben beträgt 5mm. Die Fuge der Mittelpartie beträgt 28mm. Die Brandschutzschiebetür Janisol 2 EI30 wird unter anderem für barrierefreies Bauen verwendet und ist deshalb Schwellenlos.</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 </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 xml:space="preserve">Es dürfen nur geprüfte, zum System gehörende Beschläge und Antriebe eingesetzt werden. Die Dimensionierung des Antriebes ist betreffend der Flügelgewichte durch den Antriebslieferanten zu bestimmen. </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 </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Der Einbau der Füllelemente erfolgt beidseitig mit EPDM Dichtungen oder mit Distanzbändern und geeigneter dauerelastischer Dichtmasse. Die Vorschriften der Glashersteller müssen beachtet werden. Der Einsatz der Füllelemente in die Konstruktion wird mit einseitiger Glasleiste durchgeführt.</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 </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Verbreiterte Sockel- oder Rahmenausbildungen sind durch Profilkombinationen in Verbindung mit flächenbündig aufgeschweissten Blecheinlagen und füllen der Hohlräume mit passender Isolation auszuführen.</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 </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u w:val="single"/>
          <w:lang w:val="de-AT"/>
        </w:rPr>
        <w:t>Profilbautiefen:</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Blendrahmen, Pfosten, Riegel 60 mm</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Flügelrahmen 60 mm</w:t>
      </w:r>
    </w:p>
    <w:p w:rsidR="001B7607" w:rsidRDefault="005143C0">
      <w:pPr>
        <w:keepNext/>
        <w:keepLines/>
        <w:spacing w:before="100" w:after="100" w:line="240" w:lineRule="auto"/>
        <w:ind w:left="1040"/>
        <w:rPr>
          <w:rFonts w:ascii="Arial" w:hAnsi="Arial"/>
          <w:sz w:val="20"/>
          <w:lang w:val="de-AT"/>
        </w:rPr>
      </w:pPr>
      <w:r w:rsidRPr="006F2978">
        <w:rPr>
          <w:rFonts w:ascii="Arial" w:hAnsi="Arial"/>
          <w:sz w:val="20"/>
          <w:lang w:val="de-AT"/>
        </w:rPr>
        <w:t> </w:t>
      </w:r>
    </w:p>
    <w:p w:rsidR="009F3957" w:rsidRPr="006F2978" w:rsidRDefault="009F3957">
      <w:pPr>
        <w:keepNext/>
        <w:keepLines/>
        <w:spacing w:before="100" w:after="100" w:line="240" w:lineRule="auto"/>
        <w:ind w:left="1040"/>
        <w:rPr>
          <w:rFonts w:ascii="Arial"/>
          <w:color w:val="000000"/>
          <w:sz w:val="20"/>
          <w:lang w:val="de-AT"/>
        </w:rPr>
      </w:pP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u w:val="single"/>
          <w:lang w:val="de-AT"/>
        </w:rPr>
        <w:t>Ansichtsbreiten:</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lastRenderedPageBreak/>
        <w:t>Mittelstulp mit Break-In/Out 173mm</w:t>
      </w:r>
    </w:p>
    <w:p w:rsidR="001B7607" w:rsidRPr="006F2978" w:rsidRDefault="005143C0">
      <w:pPr>
        <w:keepNext/>
        <w:keepLines/>
        <w:spacing w:before="100" w:after="100" w:line="240" w:lineRule="auto"/>
        <w:ind w:left="1040"/>
        <w:rPr>
          <w:rFonts w:ascii="Arial"/>
          <w:color w:val="000000"/>
          <w:sz w:val="20"/>
          <w:lang w:val="de-AT"/>
        </w:rPr>
      </w:pPr>
      <w:r w:rsidRPr="006F2978">
        <w:rPr>
          <w:rFonts w:ascii="Arial" w:hAnsi="Arial"/>
          <w:sz w:val="20"/>
          <w:lang w:val="de-AT"/>
        </w:rPr>
        <w:t>Flügelrahmen mit Break-In/Out 190mm</w:t>
      </w:r>
    </w:p>
    <w:tbl>
      <w:tblPr>
        <w:tblW w:w="3100" w:type="dxa"/>
        <w:jc w:val="right"/>
        <w:tblLayout w:type="fixed"/>
        <w:tblCellMar>
          <w:left w:w="10" w:type="dxa"/>
          <w:right w:w="10" w:type="dxa"/>
        </w:tblCellMar>
        <w:tblLook w:val="04A0" w:firstRow="1" w:lastRow="0" w:firstColumn="1" w:lastColumn="0" w:noHBand="0" w:noVBand="1"/>
      </w:tblPr>
      <w:tblGrid>
        <w:gridCol w:w="3100"/>
      </w:tblGrid>
      <w:tr w:rsidR="001B7607">
        <w:trPr>
          <w:jc w:val="right"/>
        </w:trPr>
        <w:tc>
          <w:tcPr>
            <w:tcW w:w="2500" w:type="dxa"/>
            <w:tcMar>
              <w:top w:w="300" w:type="dxa"/>
              <w:bottom w:w="0" w:type="dxa"/>
            </w:tcMar>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B7607">
              <w:tc>
                <w:tcPr>
                  <w:tcW w:w="1400" w:type="dxa"/>
                </w:tcPr>
                <w:p w:rsidR="001B7607" w:rsidRDefault="005143C0">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1B7607" w:rsidRDefault="001B7607">
                  <w:pPr>
                    <w:keepNext/>
                    <w:keepLines/>
                    <w:spacing w:after="0" w:line="240" w:lineRule="auto"/>
                    <w:rPr>
                      <w:rFonts w:ascii="Arial"/>
                      <w:color w:val="000000"/>
                      <w:sz w:val="18"/>
                    </w:rPr>
                  </w:pPr>
                </w:p>
              </w:tc>
            </w:tr>
          </w:tbl>
          <w:p w:rsidR="001B7607" w:rsidRDefault="001B7607">
            <w:pPr>
              <w:spacing w:line="240" w:lineRule="auto"/>
            </w:pPr>
          </w:p>
        </w:tc>
      </w:tr>
      <w:tr w:rsidR="001B7607">
        <w:trPr>
          <w:jc w:val="right"/>
        </w:trPr>
        <w:tc>
          <w:tcPr>
            <w:tcW w:w="2500" w:type="dxa"/>
            <w:vAlign w:val="center"/>
          </w:tcPr>
          <w:p w:rsidR="001B7607" w:rsidRDefault="001B7607">
            <w:pPr>
              <w:keepNext/>
              <w:keepLines/>
              <w:spacing w:after="0" w:line="240" w:lineRule="auto"/>
              <w:rPr>
                <w:rFonts w:ascii="Arial"/>
                <w:color w:val="000000"/>
                <w:sz w:val="18"/>
              </w:rPr>
            </w:pPr>
          </w:p>
        </w:tc>
      </w:tr>
      <w:tr w:rsidR="001B7607">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B7607">
              <w:tc>
                <w:tcPr>
                  <w:tcW w:w="1400" w:type="dxa"/>
                </w:tcPr>
                <w:p w:rsidR="001B7607" w:rsidRDefault="005143C0">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1B7607" w:rsidRDefault="001B7607">
                  <w:pPr>
                    <w:keepNext/>
                    <w:keepLines/>
                    <w:spacing w:after="0" w:line="240" w:lineRule="auto"/>
                    <w:rPr>
                      <w:rFonts w:ascii="Arial"/>
                      <w:color w:val="000000"/>
                      <w:sz w:val="18"/>
                    </w:rPr>
                  </w:pPr>
                </w:p>
              </w:tc>
            </w:tr>
          </w:tbl>
          <w:p w:rsidR="001B7607" w:rsidRDefault="001B7607">
            <w:pPr>
              <w:spacing w:line="240" w:lineRule="auto"/>
            </w:pPr>
          </w:p>
        </w:tc>
      </w:tr>
      <w:tr w:rsidR="001B7607">
        <w:trPr>
          <w:jc w:val="right"/>
        </w:trPr>
        <w:tc>
          <w:tcPr>
            <w:tcW w:w="2500" w:type="dxa"/>
            <w:vAlign w:val="center"/>
          </w:tcPr>
          <w:p w:rsidR="001B7607" w:rsidRDefault="001B7607">
            <w:pPr>
              <w:keepNext/>
              <w:keepLines/>
              <w:spacing w:after="0" w:line="240" w:lineRule="auto"/>
              <w:rPr>
                <w:rFonts w:ascii="Arial"/>
                <w:color w:val="000000"/>
                <w:sz w:val="18"/>
              </w:rPr>
            </w:pPr>
          </w:p>
        </w:tc>
      </w:tr>
      <w:tr w:rsidR="001B7607">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B7607">
              <w:tc>
                <w:tcPr>
                  <w:tcW w:w="1400" w:type="dxa"/>
                </w:tcPr>
                <w:p w:rsidR="001B7607" w:rsidRDefault="005143C0">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1B7607" w:rsidRDefault="001B7607">
                  <w:pPr>
                    <w:keepNext/>
                    <w:keepLines/>
                    <w:spacing w:after="0" w:line="240" w:lineRule="auto"/>
                    <w:rPr>
                      <w:rFonts w:ascii="Arial"/>
                      <w:color w:val="000000"/>
                      <w:sz w:val="18"/>
                    </w:rPr>
                  </w:pPr>
                </w:p>
              </w:tc>
            </w:tr>
          </w:tbl>
          <w:p w:rsidR="001B7607" w:rsidRDefault="001B7607">
            <w:pPr>
              <w:spacing w:line="240" w:lineRule="auto"/>
            </w:pPr>
          </w:p>
        </w:tc>
      </w:tr>
    </w:tbl>
    <w:p w:rsidR="005143C0" w:rsidRDefault="005143C0"/>
    <w:sectPr w:rsidR="005143C0">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34B" w:rsidRDefault="005E334B">
      <w:pPr>
        <w:spacing w:after="0" w:line="240" w:lineRule="auto"/>
      </w:pPr>
      <w:r>
        <w:separator/>
      </w:r>
    </w:p>
  </w:endnote>
  <w:endnote w:type="continuationSeparator" w:id="0">
    <w:p w:rsidR="005E334B" w:rsidRDefault="005E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34B" w:rsidRDefault="005E334B">
      <w:pPr>
        <w:spacing w:after="0" w:line="240" w:lineRule="auto"/>
      </w:pPr>
      <w:r>
        <w:separator/>
      </w:r>
    </w:p>
  </w:footnote>
  <w:footnote w:type="continuationSeparator" w:id="0">
    <w:p w:rsidR="005E334B" w:rsidRDefault="005E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E334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7607"/>
    <w:rsid w:val="001844D0"/>
    <w:rsid w:val="001B7607"/>
    <w:rsid w:val="005143C0"/>
    <w:rsid w:val="005E334B"/>
    <w:rsid w:val="006F2978"/>
    <w:rsid w:val="009F3957"/>
    <w:rsid w:val="00B50DF4"/>
    <w:rsid w:val="00F7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4BBF"/>
  <w15:docId w15:val="{5ACB37AC-CF51-4DB6-BCBA-CBC1AB4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F2978"/>
    <w:rPr>
      <w:color w:val="0000FF"/>
      <w:u w:val="single"/>
    </w:rPr>
  </w:style>
  <w:style w:type="paragraph" w:styleId="Kopfzeile">
    <w:name w:val="header"/>
    <w:basedOn w:val="Standard"/>
    <w:link w:val="KopfzeileZchn"/>
    <w:uiPriority w:val="99"/>
    <w:unhideWhenUsed/>
    <w:rsid w:val="00F77E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7E09"/>
  </w:style>
  <w:style w:type="paragraph" w:styleId="Fuzeile">
    <w:name w:val="footer"/>
    <w:basedOn w:val="Standard"/>
    <w:link w:val="FuzeileZchn"/>
    <w:uiPriority w:val="99"/>
    <w:unhideWhenUsed/>
    <w:rsid w:val="00F77E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52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5</cp:revision>
  <dcterms:created xsi:type="dcterms:W3CDTF">2017-10-10T10:00:00Z</dcterms:created>
  <dcterms:modified xsi:type="dcterms:W3CDTF">2017-10-10T10:47:00Z</dcterms:modified>
</cp:coreProperties>
</file>