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AC" w:rsidRDefault="00DB0793" w:rsidP="00D973AC">
      <w:pPr>
        <w:keepNext/>
        <w:keepLines/>
        <w:tabs>
          <w:tab w:val="left" w:pos="0"/>
        </w:tabs>
        <w:spacing w:after="0" w:line="240" w:lineRule="auto"/>
        <w:ind w:left="1040" w:hanging="1040"/>
        <w:outlineLvl w:val="1"/>
        <w:rPr>
          <w:rFonts w:ascii="Arial"/>
          <w:b/>
          <w:color w:val="000000"/>
          <w:lang w:val="de-AT"/>
        </w:rPr>
      </w:pPr>
      <w:r w:rsidRPr="00D973AC">
        <w:rPr>
          <w:rFonts w:ascii="Arial" w:hAnsi="Arial"/>
          <w:b/>
          <w:lang w:val="de-AT"/>
        </w:rPr>
        <w:t>1</w:t>
      </w:r>
      <w:r w:rsidRPr="00D973AC">
        <w:rPr>
          <w:rFonts w:ascii="Arial" w:hAnsi="Arial"/>
          <w:b/>
          <w:lang w:val="de-AT"/>
        </w:rPr>
        <w:tab/>
      </w:r>
      <w:r w:rsidR="00D973AC">
        <w:rPr>
          <w:rFonts w:ascii="Arial" w:hAnsi="Arial"/>
          <w:b/>
          <w:lang w:val="de-AT"/>
        </w:rPr>
        <w:t xml:space="preserve">König Stahl </w:t>
      </w:r>
      <w:proofErr w:type="spellStart"/>
      <w:r w:rsidR="00D973AC">
        <w:rPr>
          <w:rFonts w:ascii="Arial" w:hAnsi="Arial"/>
          <w:b/>
          <w:lang w:val="de-AT"/>
        </w:rPr>
        <w:t>Sp</w:t>
      </w:r>
      <w:proofErr w:type="spellEnd"/>
      <w:r w:rsidR="00D973AC">
        <w:rPr>
          <w:rFonts w:ascii="Arial" w:hAnsi="Arial"/>
          <w:b/>
          <w:lang w:val="de-AT"/>
        </w:rPr>
        <w:t xml:space="preserve">. z </w:t>
      </w:r>
      <w:proofErr w:type="spellStart"/>
      <w:r w:rsidR="00D973AC">
        <w:rPr>
          <w:rFonts w:ascii="Arial" w:hAnsi="Arial"/>
          <w:b/>
          <w:lang w:val="de-AT"/>
        </w:rPr>
        <w:t>o.o.</w:t>
      </w:r>
      <w:proofErr w:type="spellEnd"/>
      <w:r w:rsidR="00D973AC">
        <w:rPr>
          <w:rFonts w:ascii="Arial" w:hAnsi="Arial"/>
          <w:b/>
          <w:lang w:val="de-AT"/>
        </w:rPr>
        <w:t xml:space="preserve"> </w:t>
      </w:r>
    </w:p>
    <w:p w:rsidR="00D973AC" w:rsidRDefault="00D973AC" w:rsidP="00D973AC">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D973AC" w:rsidRDefault="00D973AC" w:rsidP="00D973AC">
      <w:pPr>
        <w:keepNext/>
        <w:keepLines/>
        <w:spacing w:before="100" w:after="100" w:line="240" w:lineRule="auto"/>
        <w:ind w:left="1040"/>
        <w:rPr>
          <w:rFonts w:ascii="Arial" w:hAnsi="Arial"/>
          <w:sz w:val="20"/>
          <w:lang w:val="de-AT"/>
        </w:rPr>
      </w:pPr>
      <w:r>
        <w:rPr>
          <w:rFonts w:ascii="Arial" w:hAnsi="Arial"/>
          <w:sz w:val="20"/>
          <w:lang w:val="de-AT"/>
        </w:rPr>
        <w:t xml:space="preserve">König Stahl </w:t>
      </w:r>
      <w:proofErr w:type="spellStart"/>
      <w:r>
        <w:rPr>
          <w:rFonts w:ascii="Arial" w:hAnsi="Arial"/>
          <w:sz w:val="20"/>
          <w:lang w:val="de-AT"/>
        </w:rPr>
        <w:t>Sp</w:t>
      </w:r>
      <w:proofErr w:type="spellEnd"/>
      <w:r>
        <w:rPr>
          <w:rFonts w:ascii="Arial" w:hAnsi="Arial"/>
          <w:sz w:val="20"/>
          <w:lang w:val="de-AT"/>
        </w:rPr>
        <w:t xml:space="preserve">. z </w:t>
      </w:r>
      <w:proofErr w:type="spellStart"/>
      <w:r>
        <w:rPr>
          <w:rFonts w:ascii="Arial" w:hAnsi="Arial"/>
          <w:sz w:val="20"/>
          <w:lang w:val="de-AT"/>
        </w:rPr>
        <w:t>o.o.</w:t>
      </w:r>
      <w:proofErr w:type="spellEnd"/>
      <w:r>
        <w:rPr>
          <w:rFonts w:ascii="Arial" w:hAnsi="Arial"/>
          <w:sz w:val="20"/>
          <w:lang w:val="de-AT"/>
        </w:rPr>
        <w:t xml:space="preserve"> </w:t>
      </w:r>
      <w:r>
        <w:rPr>
          <w:rFonts w:ascii="Arial" w:hAnsi="Arial"/>
          <w:sz w:val="20"/>
          <w:lang w:val="de-AT"/>
        </w:rPr>
        <w:br/>
      </w:r>
      <w:proofErr w:type="spellStart"/>
      <w:r>
        <w:rPr>
          <w:rFonts w:ascii="Arial" w:hAnsi="Arial"/>
          <w:sz w:val="20"/>
          <w:lang w:val="de-AT"/>
        </w:rPr>
        <w:t>ul</w:t>
      </w:r>
      <w:proofErr w:type="spellEnd"/>
      <w:r>
        <w:rPr>
          <w:rFonts w:ascii="Arial" w:hAnsi="Arial"/>
          <w:sz w:val="20"/>
          <w:lang w:val="de-AT"/>
        </w:rPr>
        <w:t xml:space="preserve">. </w:t>
      </w:r>
      <w:proofErr w:type="spellStart"/>
      <w:r>
        <w:rPr>
          <w:rFonts w:ascii="Arial" w:hAnsi="Arial"/>
          <w:sz w:val="20"/>
          <w:lang w:val="de-AT"/>
        </w:rPr>
        <w:t>Cybernetyki</w:t>
      </w:r>
      <w:proofErr w:type="spellEnd"/>
      <w:r>
        <w:rPr>
          <w:rFonts w:ascii="Arial" w:hAnsi="Arial"/>
          <w:sz w:val="20"/>
          <w:lang w:val="de-AT"/>
        </w:rPr>
        <w:t xml:space="preserve"> 10</w:t>
      </w:r>
      <w:r>
        <w:rPr>
          <w:rFonts w:ascii="Arial" w:hAnsi="Arial"/>
          <w:sz w:val="20"/>
          <w:lang w:val="de-AT"/>
        </w:rPr>
        <w:br/>
        <w:t>02-676 Warszawa</w:t>
      </w:r>
    </w:p>
    <w:p w:rsidR="003251FE" w:rsidRPr="00D973AC" w:rsidRDefault="00D973AC" w:rsidP="00D973AC">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DB0793" w:rsidRPr="00D973AC">
        <w:rPr>
          <w:rFonts w:ascii="Arial" w:hAnsi="Arial"/>
          <w:sz w:val="20"/>
          <w:lang w:val="de-AT"/>
        </w:rPr>
        <w:br/>
      </w:r>
    </w:p>
    <w:p w:rsidR="003251FE" w:rsidRPr="00D973AC" w:rsidRDefault="00DB0793">
      <w:pPr>
        <w:keepNext/>
        <w:keepLines/>
        <w:spacing w:before="100" w:after="100" w:line="240" w:lineRule="auto"/>
        <w:ind w:left="1040"/>
        <w:outlineLvl w:val="2"/>
        <w:rPr>
          <w:rFonts w:ascii="Arial"/>
          <w:b/>
          <w:color w:val="000000"/>
          <w:sz w:val="20"/>
          <w:lang w:val="de-AT"/>
        </w:rPr>
      </w:pPr>
      <w:r w:rsidRPr="00D973AC">
        <w:rPr>
          <w:rFonts w:ascii="Arial" w:hAnsi="Arial"/>
          <w:b/>
          <w:sz w:val="20"/>
          <w:lang w:val="de-AT"/>
        </w:rPr>
        <w:t>VISS SG</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sz w:val="20"/>
          <w:lang w:val="de-AT"/>
        </w:rPr>
        <w:t>Wärmegedämmte Pfosten-Riegel-Konstruktion für ein- und mehrgeschossige Fassaden.</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sz w:val="20"/>
          <w:lang w:val="de-AT"/>
        </w:rPr>
        <w:t> </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sz w:val="20"/>
          <w:u w:val="single"/>
          <w:lang w:val="de-AT"/>
        </w:rPr>
        <w:t>Konstruktionsmerkmale:</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sz w:val="20"/>
          <w:lang w:val="de-AT"/>
        </w:rPr>
        <w:t xml:space="preserve">Thermisch getrennte Pfosten-Riegelkonstruktion bestehend aus raumseitig angeordneten gewalzten oder gezogenen Profilstahlrohren mit Ansichtsbreiten von 50 oder 60 mm und Bautiefen von 50 bis 280 mm entsprechend statischen Erfordernissen. Die Profilquerschnitte sind durch den Unternehmer in statischer </w:t>
      </w:r>
      <w:r w:rsidRPr="00D973AC">
        <w:rPr>
          <w:rFonts w:ascii="Arial" w:hAnsi="Arial"/>
          <w:color w:val="000000"/>
          <w:sz w:val="20"/>
          <w:lang w:val="de-AT"/>
        </w:rPr>
        <w:t>Hinsicht zu überprüfen. Vor der Ausführung ist der statische Nachweis zu erbringen.</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sz w:val="20"/>
          <w:lang w:val="de-AT"/>
        </w:rPr>
        <w:t>Die Glashalterung erfolgt durch L bzw. T Glashaltern. Die Versiegelung der Fuge erfolgt mit einem entsprechenden Dichtstoff. Das System hat eine europäische technische Zulassung - ETA 13/0015.</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b/>
          <w:sz w:val="20"/>
          <w:lang w:val="de-AT"/>
        </w:rPr>
        <w:t> </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sz w:val="20"/>
          <w:lang w:val="de-AT"/>
        </w:rPr>
        <w:t xml:space="preserve">Der Aufbau der Tragkonstruktion kann je nach </w:t>
      </w:r>
      <w:proofErr w:type="spellStart"/>
      <w:r w:rsidRPr="00D973AC">
        <w:rPr>
          <w:rFonts w:ascii="Arial" w:hAnsi="Arial"/>
          <w:sz w:val="20"/>
          <w:lang w:val="de-AT"/>
        </w:rPr>
        <w:t>Elementgrösse</w:t>
      </w:r>
      <w:proofErr w:type="spellEnd"/>
      <w:r w:rsidRPr="00D973AC">
        <w:rPr>
          <w:rFonts w:ascii="Arial" w:hAnsi="Arial"/>
          <w:sz w:val="20"/>
          <w:lang w:val="de-AT"/>
        </w:rPr>
        <w:t>, Rastermasse und Konstruktionsart entweder in Elementbauweise (</w:t>
      </w:r>
      <w:proofErr w:type="spellStart"/>
      <w:r w:rsidRPr="00D973AC">
        <w:rPr>
          <w:rFonts w:ascii="Arial" w:hAnsi="Arial"/>
          <w:sz w:val="20"/>
          <w:lang w:val="de-AT"/>
        </w:rPr>
        <w:t>geschweisst</w:t>
      </w:r>
      <w:proofErr w:type="spellEnd"/>
      <w:r w:rsidRPr="00D973AC">
        <w:rPr>
          <w:rFonts w:ascii="Arial" w:hAnsi="Arial"/>
          <w:sz w:val="20"/>
          <w:lang w:val="de-AT"/>
        </w:rPr>
        <w:t xml:space="preserve">) und / oder in Steckbauweise </w:t>
      </w:r>
      <w:r w:rsidRPr="00D973AC">
        <w:rPr>
          <w:rFonts w:ascii="Arial" w:hAnsi="Arial"/>
          <w:sz w:val="20"/>
          <w:lang w:val="de-AT"/>
        </w:rPr>
        <w:br/>
        <w:t xml:space="preserve">(T-Verbinder) ausgeführt werden. </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sz w:val="20"/>
          <w:lang w:val="de-AT"/>
        </w:rPr>
        <w:t xml:space="preserve">Bei der Elementbauweise sind die Riegel umlaufend </w:t>
      </w:r>
      <w:proofErr w:type="spellStart"/>
      <w:r w:rsidRPr="00D973AC">
        <w:rPr>
          <w:rFonts w:ascii="Arial" w:hAnsi="Arial"/>
          <w:sz w:val="20"/>
          <w:lang w:val="de-AT"/>
        </w:rPr>
        <w:t>einzuschweissen</w:t>
      </w:r>
      <w:proofErr w:type="spellEnd"/>
      <w:r w:rsidRPr="00D973AC">
        <w:rPr>
          <w:rFonts w:ascii="Arial" w:hAnsi="Arial"/>
          <w:sz w:val="20"/>
          <w:lang w:val="de-AT"/>
        </w:rPr>
        <w:t xml:space="preserve">. Bei exponierten Konstruktionen ist der Nutbereich beim </w:t>
      </w:r>
      <w:proofErr w:type="spellStart"/>
      <w:r w:rsidRPr="00D973AC">
        <w:rPr>
          <w:rFonts w:ascii="Arial" w:hAnsi="Arial"/>
          <w:sz w:val="20"/>
          <w:lang w:val="de-AT"/>
        </w:rPr>
        <w:t>Pfostenstoss</w:t>
      </w:r>
      <w:proofErr w:type="spellEnd"/>
      <w:r w:rsidRPr="00D973AC">
        <w:rPr>
          <w:rFonts w:ascii="Arial" w:hAnsi="Arial"/>
          <w:sz w:val="20"/>
          <w:lang w:val="de-AT"/>
        </w:rPr>
        <w:t xml:space="preserve"> mittels Dichtungsmasse abzudichten. Bei der Steckbauweise stehen steck- oder </w:t>
      </w:r>
      <w:proofErr w:type="spellStart"/>
      <w:r w:rsidRPr="00D973AC">
        <w:rPr>
          <w:rFonts w:ascii="Arial" w:hAnsi="Arial"/>
          <w:sz w:val="20"/>
          <w:lang w:val="de-AT"/>
        </w:rPr>
        <w:t>einhängbare</w:t>
      </w:r>
      <w:proofErr w:type="spellEnd"/>
      <w:r w:rsidRPr="00D973AC">
        <w:rPr>
          <w:rFonts w:ascii="Arial" w:hAnsi="Arial"/>
          <w:sz w:val="20"/>
          <w:lang w:val="de-AT"/>
        </w:rPr>
        <w:t xml:space="preserve"> T-Verbinder zur Verfügung.</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sz w:val="20"/>
          <w:lang w:val="de-AT"/>
        </w:rPr>
        <w:t> </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color w:val="000000"/>
          <w:sz w:val="20"/>
          <w:lang w:val="de-AT"/>
        </w:rPr>
        <w:t xml:space="preserve">Als Verbindung zwischen raumseitiger Tragkonstruktion und den </w:t>
      </w:r>
      <w:proofErr w:type="spellStart"/>
      <w:r w:rsidRPr="00D973AC">
        <w:rPr>
          <w:rFonts w:ascii="Arial" w:hAnsi="Arial"/>
          <w:color w:val="000000"/>
          <w:sz w:val="20"/>
          <w:lang w:val="de-AT"/>
        </w:rPr>
        <w:t>aussenliegenden</w:t>
      </w:r>
      <w:proofErr w:type="spellEnd"/>
      <w:r w:rsidRPr="00D973AC">
        <w:rPr>
          <w:rFonts w:ascii="Arial" w:hAnsi="Arial"/>
          <w:color w:val="000000"/>
          <w:sz w:val="20"/>
          <w:lang w:val="de-AT"/>
        </w:rPr>
        <w:t xml:space="preserve"> Anpressprofilen sind </w:t>
      </w:r>
      <w:r w:rsidRPr="00D973AC">
        <w:rPr>
          <w:rFonts w:ascii="Arial" w:hAnsi="Arial"/>
          <w:sz w:val="20"/>
          <w:lang w:val="de-AT"/>
        </w:rPr>
        <w:t xml:space="preserve">örtliche Befestigungsanker aus Edelstahl mit Linsenschrauben mit Flansch aus Edelstahl einzusetzen. Zwischen innenliegender Tragkonstruktion und </w:t>
      </w:r>
      <w:proofErr w:type="spellStart"/>
      <w:r w:rsidRPr="00D973AC">
        <w:rPr>
          <w:rFonts w:ascii="Arial" w:hAnsi="Arial"/>
          <w:sz w:val="20"/>
          <w:lang w:val="de-AT"/>
        </w:rPr>
        <w:t>äusseren</w:t>
      </w:r>
      <w:proofErr w:type="spellEnd"/>
      <w:r w:rsidRPr="00D973AC">
        <w:rPr>
          <w:rFonts w:ascii="Arial" w:hAnsi="Arial"/>
          <w:sz w:val="20"/>
          <w:lang w:val="de-AT"/>
        </w:rPr>
        <w:t xml:space="preserve"> Deckprofilen dürfen keine direkten Verbindungen bzw. Wärmebrücken entstehen. Die Eignung der Klemmverbindung ist mittels Prüfzeugnis / Zulassung nachzuweisen.</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b/>
          <w:sz w:val="20"/>
          <w:lang w:val="de-AT"/>
        </w:rPr>
        <w:t> </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color w:val="000000"/>
          <w:sz w:val="20"/>
          <w:lang w:val="de-AT"/>
        </w:rPr>
        <w:t xml:space="preserve">Glasdichtung aus durchgehenden EPDM Dichtungen auf der Innen- und </w:t>
      </w:r>
      <w:proofErr w:type="spellStart"/>
      <w:r w:rsidRPr="00D973AC">
        <w:rPr>
          <w:rFonts w:ascii="Arial" w:hAnsi="Arial"/>
          <w:color w:val="000000"/>
          <w:sz w:val="20"/>
          <w:lang w:val="de-AT"/>
        </w:rPr>
        <w:t>Aussenseite</w:t>
      </w:r>
      <w:proofErr w:type="spellEnd"/>
      <w:r w:rsidRPr="00D973AC">
        <w:rPr>
          <w:rFonts w:ascii="Arial" w:hAnsi="Arial"/>
          <w:color w:val="000000"/>
          <w:sz w:val="20"/>
          <w:lang w:val="de-AT"/>
        </w:rPr>
        <w:t xml:space="preserve">. </w:t>
      </w:r>
      <w:proofErr w:type="spellStart"/>
      <w:r w:rsidRPr="00D973AC">
        <w:rPr>
          <w:rFonts w:ascii="Arial" w:hAnsi="Arial"/>
          <w:color w:val="000000"/>
          <w:sz w:val="20"/>
          <w:lang w:val="de-AT"/>
        </w:rPr>
        <w:t>Dichtungsstösse</w:t>
      </w:r>
      <w:proofErr w:type="spellEnd"/>
      <w:r w:rsidRPr="00D973AC">
        <w:rPr>
          <w:rFonts w:ascii="Arial" w:hAnsi="Arial"/>
          <w:color w:val="000000"/>
          <w:sz w:val="20"/>
          <w:lang w:val="de-AT"/>
        </w:rPr>
        <w:t xml:space="preserve"> überlappend. </w:t>
      </w:r>
      <w:r w:rsidRPr="00D973AC">
        <w:rPr>
          <w:rFonts w:ascii="Arial" w:hAnsi="Arial"/>
          <w:sz w:val="20"/>
          <w:lang w:val="de-AT"/>
        </w:rPr>
        <w:t xml:space="preserve">Die mittels örtlicher Perforation auf die Isolationsknöpfe der Tragkonstruktion zu montierenden EPDM-Innendichtungen bilden die Wasser- und Luftsperre des Glasfalzes. </w:t>
      </w:r>
      <w:r w:rsidRPr="00D973AC">
        <w:rPr>
          <w:rFonts w:ascii="Arial" w:hAnsi="Arial"/>
          <w:color w:val="000000"/>
          <w:sz w:val="20"/>
          <w:lang w:val="de-AT"/>
        </w:rPr>
        <w:t xml:space="preserve">Die horizontale Dichtung mit Dichtungslappen wird durchlaufend geführt, wodurch der obere Glasrandverbund abgedeckt wird. Die vertikale Dichtung wird zwischengesetzt. Die </w:t>
      </w:r>
      <w:proofErr w:type="spellStart"/>
      <w:r w:rsidRPr="00D973AC">
        <w:rPr>
          <w:rFonts w:ascii="Arial" w:hAnsi="Arial"/>
          <w:color w:val="000000"/>
          <w:sz w:val="20"/>
          <w:lang w:val="de-AT"/>
        </w:rPr>
        <w:t>Dichtungsstösse</w:t>
      </w:r>
      <w:proofErr w:type="spellEnd"/>
      <w:r w:rsidRPr="00D973AC">
        <w:rPr>
          <w:rFonts w:ascii="Arial" w:hAnsi="Arial"/>
          <w:color w:val="000000"/>
          <w:sz w:val="20"/>
          <w:lang w:val="de-AT"/>
        </w:rPr>
        <w:t xml:space="preserve"> in den Kreuz-, T- und Eckpunkten sind mittels geeigneter Kleb- und Dichtungsmasse sorgfältig abzudichten.</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b/>
          <w:color w:val="000000"/>
          <w:sz w:val="20"/>
          <w:lang w:val="de-AT"/>
        </w:rPr>
        <w:t> </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color w:val="000000"/>
          <w:sz w:val="20"/>
          <w:lang w:val="de-AT"/>
        </w:rPr>
        <w:t xml:space="preserve">Im Bereich Glasauflage sind zur Lastabtragung Traganker aus Edelstahl mit Alu- Falzprofilstücken oder GFK-Glasauflageprofil oder </w:t>
      </w:r>
      <w:proofErr w:type="spellStart"/>
      <w:r w:rsidRPr="00D973AC">
        <w:rPr>
          <w:rFonts w:ascii="Arial" w:hAnsi="Arial"/>
          <w:color w:val="000000"/>
          <w:sz w:val="20"/>
          <w:lang w:val="de-AT"/>
        </w:rPr>
        <w:t>eingeschweisster</w:t>
      </w:r>
      <w:proofErr w:type="spellEnd"/>
      <w:r w:rsidRPr="00D973AC">
        <w:rPr>
          <w:rFonts w:ascii="Arial" w:hAnsi="Arial"/>
          <w:color w:val="000000"/>
          <w:sz w:val="20"/>
          <w:lang w:val="de-AT"/>
        </w:rPr>
        <w:t xml:space="preserve"> Flachstahl sowie Kunststoff-Tragklötzen einzusetzen. Die Anordnung hat </w:t>
      </w:r>
      <w:proofErr w:type="spellStart"/>
      <w:r w:rsidRPr="00D973AC">
        <w:rPr>
          <w:rFonts w:ascii="Arial" w:hAnsi="Arial"/>
          <w:color w:val="000000"/>
          <w:sz w:val="20"/>
          <w:lang w:val="de-AT"/>
        </w:rPr>
        <w:t>gemäss</w:t>
      </w:r>
      <w:proofErr w:type="spellEnd"/>
      <w:r w:rsidRPr="00D973AC">
        <w:rPr>
          <w:rFonts w:ascii="Arial" w:hAnsi="Arial"/>
          <w:color w:val="000000"/>
          <w:sz w:val="20"/>
          <w:lang w:val="de-AT"/>
        </w:rPr>
        <w:t xml:space="preserve"> den Vorschriften der System- und Glashersteller zu erfolgen. Füllelementstärken 30mm bis 70 mm einsetzbar. </w:t>
      </w:r>
      <w:proofErr w:type="spellStart"/>
      <w:r w:rsidRPr="00D973AC">
        <w:rPr>
          <w:rFonts w:ascii="Arial" w:hAnsi="Arial"/>
          <w:color w:val="000000"/>
          <w:sz w:val="20"/>
          <w:lang w:val="de-AT"/>
        </w:rPr>
        <w:t>Gemäss</w:t>
      </w:r>
      <w:proofErr w:type="spellEnd"/>
      <w:r w:rsidRPr="00D973AC">
        <w:rPr>
          <w:rFonts w:ascii="Arial" w:hAnsi="Arial"/>
          <w:color w:val="000000"/>
          <w:sz w:val="20"/>
          <w:lang w:val="de-AT"/>
        </w:rPr>
        <w:t xml:space="preserve"> </w:t>
      </w:r>
      <w:r w:rsidRPr="00D973AC">
        <w:rPr>
          <w:rFonts w:ascii="Arial" w:hAnsi="Arial"/>
          <w:sz w:val="20"/>
          <w:lang w:val="de-AT"/>
        </w:rPr>
        <w:t xml:space="preserve">ETA 13/0015 darf nur Glas der Firma </w:t>
      </w:r>
      <w:proofErr w:type="spellStart"/>
      <w:r w:rsidRPr="00D973AC">
        <w:rPr>
          <w:rFonts w:ascii="Arial" w:hAnsi="Arial"/>
          <w:sz w:val="20"/>
          <w:lang w:val="de-AT"/>
        </w:rPr>
        <w:t>Eckelt</w:t>
      </w:r>
      <w:proofErr w:type="spellEnd"/>
      <w:r w:rsidRPr="00D973AC">
        <w:rPr>
          <w:rFonts w:ascii="Arial" w:hAnsi="Arial"/>
          <w:sz w:val="20"/>
          <w:lang w:val="de-AT"/>
        </w:rPr>
        <w:t xml:space="preserve"> Glas GmbH eingesetzt werden.</w:t>
      </w:r>
    </w:p>
    <w:p w:rsidR="003251FE" w:rsidRPr="00D973AC" w:rsidRDefault="00DB0793">
      <w:pPr>
        <w:keepNext/>
        <w:keepLines/>
        <w:spacing w:before="100" w:after="100" w:line="240" w:lineRule="auto"/>
        <w:ind w:left="1040"/>
        <w:rPr>
          <w:rFonts w:ascii="Arial"/>
          <w:color w:val="000000"/>
          <w:sz w:val="20"/>
          <w:lang w:val="de-AT"/>
        </w:rPr>
      </w:pPr>
      <w:r w:rsidRPr="00D973AC">
        <w:rPr>
          <w:rFonts w:ascii="Arial" w:hAnsi="Arial"/>
          <w:b/>
          <w:color w:val="000000"/>
          <w:sz w:val="20"/>
          <w:lang w:val="de-AT"/>
        </w:rPr>
        <w:t> </w:t>
      </w:r>
    </w:p>
    <w:p w:rsidR="003251FE" w:rsidRPr="007645DD" w:rsidRDefault="00DB0793">
      <w:pPr>
        <w:keepNext/>
        <w:keepLines/>
        <w:spacing w:before="100" w:after="100" w:line="240" w:lineRule="auto"/>
        <w:ind w:left="1040"/>
        <w:rPr>
          <w:rFonts w:ascii="Arial"/>
          <w:color w:val="000000"/>
          <w:sz w:val="20"/>
          <w:lang w:val="de-AT"/>
        </w:rPr>
      </w:pPr>
      <w:r w:rsidRPr="007645DD">
        <w:rPr>
          <w:rFonts w:ascii="Arial" w:hAnsi="Arial"/>
          <w:color w:val="000000"/>
          <w:sz w:val="20"/>
          <w:lang w:val="de-AT"/>
        </w:rPr>
        <w:lastRenderedPageBreak/>
        <w:t xml:space="preserve">Die Falzgrundbelüftung resp. Entwässerung des Glasfalzbereiches nach </w:t>
      </w:r>
      <w:proofErr w:type="spellStart"/>
      <w:r w:rsidRPr="007645DD">
        <w:rPr>
          <w:rFonts w:ascii="Arial" w:hAnsi="Arial"/>
          <w:color w:val="000000"/>
          <w:sz w:val="20"/>
          <w:lang w:val="de-AT"/>
        </w:rPr>
        <w:t>aussen</w:t>
      </w:r>
      <w:proofErr w:type="spellEnd"/>
      <w:r w:rsidRPr="007645DD">
        <w:rPr>
          <w:rFonts w:ascii="Arial" w:hAnsi="Arial"/>
          <w:color w:val="000000"/>
          <w:sz w:val="20"/>
          <w:lang w:val="de-AT"/>
        </w:rPr>
        <w:t xml:space="preserve"> erfolgt feldweise mittels Entspannungsstücken im Riegelbereich über den Pfostenbereich. Die </w:t>
      </w:r>
      <w:proofErr w:type="spellStart"/>
      <w:r w:rsidRPr="007645DD">
        <w:rPr>
          <w:rFonts w:ascii="Arial" w:hAnsi="Arial"/>
          <w:color w:val="000000"/>
          <w:sz w:val="20"/>
          <w:lang w:val="de-AT"/>
        </w:rPr>
        <w:t>Fusspunkt</w:t>
      </w:r>
      <w:proofErr w:type="spellEnd"/>
      <w:r w:rsidRPr="007645DD">
        <w:rPr>
          <w:rFonts w:ascii="Arial" w:hAnsi="Arial"/>
          <w:color w:val="000000"/>
          <w:sz w:val="20"/>
          <w:lang w:val="de-AT"/>
        </w:rPr>
        <w:t xml:space="preserve"> - Ausbildung im Bauanschlussbereich ist derart auszubilden, dass eine einwandfreie Belüftung und Entwässerung des Glasfalzes gewährleistet ist. </w:t>
      </w:r>
    </w:p>
    <w:p w:rsidR="003251FE" w:rsidRPr="007645DD" w:rsidRDefault="00DB0793">
      <w:pPr>
        <w:keepNext/>
        <w:keepLines/>
        <w:spacing w:before="100" w:after="100" w:line="240" w:lineRule="auto"/>
        <w:ind w:left="1040"/>
        <w:rPr>
          <w:rFonts w:ascii="Arial"/>
          <w:color w:val="000000"/>
          <w:sz w:val="20"/>
          <w:lang w:val="de-AT"/>
        </w:rPr>
      </w:pPr>
      <w:r w:rsidRPr="007645DD">
        <w:rPr>
          <w:rFonts w:ascii="Arial" w:hAnsi="Arial"/>
          <w:b/>
          <w:sz w:val="20"/>
          <w:lang w:val="de-AT"/>
        </w:rPr>
        <w:t> </w:t>
      </w:r>
    </w:p>
    <w:p w:rsidR="003251FE" w:rsidRPr="007645DD" w:rsidRDefault="00DB0793" w:rsidP="007645DD">
      <w:pPr>
        <w:keepNext/>
        <w:keepLines/>
        <w:spacing w:before="100" w:after="100" w:line="240" w:lineRule="auto"/>
        <w:ind w:left="1040"/>
        <w:rPr>
          <w:rFonts w:ascii="Arial"/>
          <w:color w:val="000000"/>
          <w:sz w:val="20"/>
          <w:lang w:val="de-AT"/>
        </w:rPr>
      </w:pPr>
      <w:r w:rsidRPr="007645DD">
        <w:rPr>
          <w:rFonts w:ascii="Arial" w:hAnsi="Arial"/>
          <w:sz w:val="20"/>
          <w:lang w:val="de-AT"/>
        </w:rPr>
        <w:t xml:space="preserve">Nachfolgende Mindestanforderungen an die Fassade sind zwingend einzuhalten. </w:t>
      </w:r>
    </w:p>
    <w:p w:rsidR="003251FE" w:rsidRPr="007645DD" w:rsidRDefault="00DB0793">
      <w:pPr>
        <w:keepNext/>
        <w:keepLines/>
        <w:spacing w:before="100" w:after="100" w:line="240" w:lineRule="auto"/>
        <w:ind w:left="1040"/>
        <w:rPr>
          <w:rFonts w:ascii="Arial"/>
          <w:color w:val="000000"/>
          <w:sz w:val="20"/>
          <w:lang w:val="de-AT"/>
        </w:rPr>
      </w:pPr>
      <w:r w:rsidRPr="007645DD">
        <w:rPr>
          <w:rFonts w:ascii="Arial" w:hAnsi="Arial"/>
          <w:sz w:val="20"/>
          <w:lang w:val="de-AT"/>
        </w:rPr>
        <w:t>ETA auf Basis der ETAG 002</w:t>
      </w:r>
    </w:p>
    <w:p w:rsidR="003251FE" w:rsidRPr="007645DD" w:rsidRDefault="00DB0793">
      <w:pPr>
        <w:keepNext/>
        <w:keepLines/>
        <w:spacing w:before="100" w:after="100" w:line="240" w:lineRule="auto"/>
        <w:ind w:left="1040"/>
        <w:rPr>
          <w:rFonts w:ascii="Arial"/>
          <w:color w:val="000000"/>
          <w:sz w:val="20"/>
          <w:lang w:val="de-AT"/>
        </w:rPr>
      </w:pPr>
      <w:r w:rsidRPr="007645DD">
        <w:rPr>
          <w:rFonts w:ascii="Arial" w:hAnsi="Arial"/>
          <w:sz w:val="20"/>
          <w:lang w:val="de-AT"/>
        </w:rPr>
        <w:t>Luftdurchlässigkeit nach EN12152 bis Kl. AE</w:t>
      </w:r>
    </w:p>
    <w:p w:rsidR="003251FE" w:rsidRPr="007645DD" w:rsidRDefault="00DB0793">
      <w:pPr>
        <w:keepNext/>
        <w:keepLines/>
        <w:spacing w:before="100" w:after="100" w:line="240" w:lineRule="auto"/>
        <w:ind w:left="1040"/>
        <w:rPr>
          <w:rFonts w:ascii="Arial"/>
          <w:color w:val="000000"/>
          <w:sz w:val="20"/>
          <w:lang w:val="de-AT"/>
        </w:rPr>
      </w:pPr>
      <w:r w:rsidRPr="007645DD">
        <w:rPr>
          <w:rFonts w:ascii="Arial" w:hAnsi="Arial"/>
          <w:sz w:val="20"/>
          <w:lang w:val="de-AT"/>
        </w:rPr>
        <w:t>Schlagregendichtheit nach EN12154 bis Kl. RE 1200</w:t>
      </w:r>
    </w:p>
    <w:p w:rsidR="003251FE" w:rsidRPr="007645DD" w:rsidRDefault="00DB0793">
      <w:pPr>
        <w:keepNext/>
        <w:keepLines/>
        <w:spacing w:before="100" w:after="100" w:line="240" w:lineRule="auto"/>
        <w:ind w:left="1040"/>
        <w:rPr>
          <w:rFonts w:ascii="Arial"/>
          <w:color w:val="000000"/>
          <w:sz w:val="20"/>
          <w:lang w:val="de-AT"/>
        </w:rPr>
      </w:pPr>
      <w:r w:rsidRPr="007645DD">
        <w:rPr>
          <w:rFonts w:ascii="Arial" w:hAnsi="Arial"/>
          <w:sz w:val="20"/>
          <w:lang w:val="de-AT"/>
        </w:rPr>
        <w:t xml:space="preserve">Widerstandsfähigkeit </w:t>
      </w:r>
      <w:proofErr w:type="spellStart"/>
      <w:r w:rsidRPr="007645DD">
        <w:rPr>
          <w:rFonts w:ascii="Arial" w:hAnsi="Arial"/>
          <w:sz w:val="20"/>
          <w:lang w:val="de-AT"/>
        </w:rPr>
        <w:t>Windlast</w:t>
      </w:r>
      <w:proofErr w:type="spellEnd"/>
      <w:r w:rsidRPr="007645DD">
        <w:rPr>
          <w:rFonts w:ascii="Arial" w:hAnsi="Arial"/>
          <w:sz w:val="20"/>
          <w:lang w:val="de-AT"/>
        </w:rPr>
        <w:t xml:space="preserve"> EN13116 bis 2 kN/m²</w:t>
      </w:r>
    </w:p>
    <w:p w:rsidR="003251FE" w:rsidRPr="007645DD" w:rsidRDefault="00DB0793">
      <w:pPr>
        <w:keepNext/>
        <w:keepLines/>
        <w:spacing w:before="100" w:after="100" w:line="240" w:lineRule="auto"/>
        <w:ind w:left="1040"/>
        <w:rPr>
          <w:rFonts w:ascii="Arial"/>
          <w:color w:val="000000"/>
          <w:sz w:val="20"/>
          <w:lang w:val="de-AT"/>
        </w:rPr>
      </w:pPr>
      <w:proofErr w:type="spellStart"/>
      <w:r w:rsidRPr="007645DD">
        <w:rPr>
          <w:rFonts w:ascii="Arial" w:hAnsi="Arial"/>
          <w:sz w:val="20"/>
          <w:lang w:val="de-AT"/>
        </w:rPr>
        <w:t>Stossfestigkeit</w:t>
      </w:r>
      <w:proofErr w:type="spellEnd"/>
      <w:r w:rsidRPr="007645DD">
        <w:rPr>
          <w:rFonts w:ascii="Arial" w:hAnsi="Arial"/>
          <w:sz w:val="20"/>
          <w:lang w:val="de-AT"/>
        </w:rPr>
        <w:t xml:space="preserve"> EN14019 bis Kl. E5/I5</w:t>
      </w:r>
    </w:p>
    <w:p w:rsidR="003251FE" w:rsidRDefault="00DB0793">
      <w:pPr>
        <w:keepNext/>
        <w:keepLines/>
        <w:spacing w:before="100" w:after="100" w:line="240" w:lineRule="auto"/>
        <w:ind w:left="1040"/>
        <w:rPr>
          <w:rFonts w:ascii="Arial"/>
          <w:color w:val="000000"/>
          <w:sz w:val="20"/>
        </w:rPr>
      </w:pPr>
      <w:proofErr w:type="spellStart"/>
      <w:r>
        <w:rPr>
          <w:rFonts w:ascii="Arial" w:hAnsi="Arial"/>
          <w:sz w:val="20"/>
        </w:rPr>
        <w:t>Wärmedurchgang</w:t>
      </w:r>
      <w:proofErr w:type="spellEnd"/>
      <w:r>
        <w:rPr>
          <w:rFonts w:ascii="Arial" w:hAnsi="Arial"/>
          <w:sz w:val="20"/>
        </w:rPr>
        <w:t xml:space="preserve"> </w:t>
      </w:r>
      <w:proofErr w:type="spellStart"/>
      <w:r>
        <w:rPr>
          <w:rFonts w:ascii="Arial" w:hAnsi="Arial"/>
          <w:sz w:val="20"/>
        </w:rPr>
        <w:t>nach</w:t>
      </w:r>
      <w:proofErr w:type="spellEnd"/>
      <w:r>
        <w:rPr>
          <w:rFonts w:ascii="Arial" w:hAnsi="Arial"/>
          <w:sz w:val="20"/>
        </w:rPr>
        <w:t xml:space="preserve"> </w:t>
      </w:r>
      <w:proofErr w:type="spellStart"/>
      <w:r>
        <w:rPr>
          <w:rFonts w:ascii="Arial" w:hAnsi="Arial"/>
          <w:sz w:val="20"/>
        </w:rPr>
        <w:t>En</w:t>
      </w:r>
      <w:proofErr w:type="spellEnd"/>
      <w:r>
        <w:rPr>
          <w:rFonts w:ascii="Arial" w:hAnsi="Arial"/>
          <w:sz w:val="20"/>
        </w:rPr>
        <w:t xml:space="preserve"> ISO 10077-2 ab</w:t>
      </w:r>
      <w:r w:rsidR="007645DD">
        <w:rPr>
          <w:rFonts w:ascii="Arial" w:hAnsi="Arial"/>
          <w:b/>
          <w:sz w:val="20"/>
        </w:rPr>
        <w:t xml:space="preserve"> </w:t>
      </w:r>
      <w:bookmarkStart w:id="0" w:name="_GoBack"/>
      <w:bookmarkEnd w:id="0"/>
      <w:proofErr w:type="spellStart"/>
      <w:r>
        <w:rPr>
          <w:rFonts w:ascii="Arial" w:hAnsi="Arial"/>
          <w:sz w:val="20"/>
        </w:rPr>
        <w:t>Uf</w:t>
      </w:r>
      <w:proofErr w:type="spellEnd"/>
      <w:r>
        <w:rPr>
          <w:rFonts w:ascii="Arial" w:hAnsi="Arial"/>
          <w:sz w:val="20"/>
        </w:rPr>
        <w:t xml:space="preserve"> &gt; 0.84 W/m²K</w:t>
      </w:r>
    </w:p>
    <w:tbl>
      <w:tblPr>
        <w:tblW w:w="3100" w:type="dxa"/>
        <w:jc w:val="right"/>
        <w:tblLayout w:type="fixed"/>
        <w:tblCellMar>
          <w:left w:w="10" w:type="dxa"/>
          <w:right w:w="10" w:type="dxa"/>
        </w:tblCellMar>
        <w:tblLook w:val="04A0" w:firstRow="1" w:lastRow="0" w:firstColumn="1" w:lastColumn="0" w:noHBand="0" w:noVBand="1"/>
      </w:tblPr>
      <w:tblGrid>
        <w:gridCol w:w="3100"/>
      </w:tblGrid>
      <w:tr w:rsidR="003251FE">
        <w:trPr>
          <w:jc w:val="right"/>
        </w:trPr>
        <w:tc>
          <w:tcPr>
            <w:tcW w:w="2500" w:type="dxa"/>
            <w:tcMar>
              <w:top w:w="300" w:type="dxa"/>
              <w:bottom w:w="0" w:type="dxa"/>
            </w:tcMar>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3251FE">
              <w:tc>
                <w:tcPr>
                  <w:tcW w:w="1400" w:type="dxa"/>
                </w:tcPr>
                <w:p w:rsidR="003251FE" w:rsidRDefault="00DB0793">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Netto</w:t>
                  </w:r>
                  <w:proofErr w:type="spellEnd"/>
                  <w:r>
                    <w:rPr>
                      <w:rFonts w:ascii="Arial" w:hAnsi="Arial"/>
                      <w:b/>
                      <w:sz w:val="18"/>
                    </w:rPr>
                    <w:t>:</w:t>
                  </w:r>
                </w:p>
              </w:tc>
              <w:tc>
                <w:tcPr>
                  <w:tcW w:w="1100" w:type="dxa"/>
                  <w:tcBorders>
                    <w:bottom w:val="dotted" w:sz="13" w:space="0" w:color="000000"/>
                  </w:tcBorders>
                </w:tcPr>
                <w:p w:rsidR="003251FE" w:rsidRDefault="003251FE">
                  <w:pPr>
                    <w:keepNext/>
                    <w:keepLines/>
                    <w:spacing w:after="0" w:line="240" w:lineRule="auto"/>
                    <w:rPr>
                      <w:rFonts w:ascii="Arial"/>
                      <w:color w:val="000000"/>
                      <w:sz w:val="18"/>
                    </w:rPr>
                  </w:pPr>
                </w:p>
              </w:tc>
            </w:tr>
          </w:tbl>
          <w:p w:rsidR="003251FE" w:rsidRDefault="003251FE">
            <w:pPr>
              <w:spacing w:line="240" w:lineRule="auto"/>
            </w:pPr>
          </w:p>
        </w:tc>
      </w:tr>
      <w:tr w:rsidR="003251FE">
        <w:trPr>
          <w:jc w:val="right"/>
        </w:trPr>
        <w:tc>
          <w:tcPr>
            <w:tcW w:w="2500" w:type="dxa"/>
            <w:vAlign w:val="center"/>
          </w:tcPr>
          <w:p w:rsidR="003251FE" w:rsidRDefault="003251FE">
            <w:pPr>
              <w:keepNext/>
              <w:keepLines/>
              <w:spacing w:after="0" w:line="240" w:lineRule="auto"/>
              <w:rPr>
                <w:rFonts w:ascii="Arial"/>
                <w:color w:val="000000"/>
                <w:sz w:val="18"/>
              </w:rPr>
            </w:pPr>
          </w:p>
        </w:tc>
      </w:tr>
      <w:tr w:rsidR="003251FE">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3251FE">
              <w:tc>
                <w:tcPr>
                  <w:tcW w:w="1400" w:type="dxa"/>
                </w:tcPr>
                <w:p w:rsidR="003251FE" w:rsidRDefault="00DB0793">
                  <w:pPr>
                    <w:keepNext/>
                    <w:keepLines/>
                    <w:spacing w:after="0" w:line="240" w:lineRule="auto"/>
                    <w:rPr>
                      <w:rFonts w:ascii="Arial"/>
                      <w:b/>
                      <w:color w:val="000000"/>
                      <w:sz w:val="18"/>
                    </w:rPr>
                  </w:pPr>
                  <w:r>
                    <w:rPr>
                      <w:rFonts w:ascii="Arial" w:hAnsi="Arial"/>
                      <w:b/>
                      <w:sz w:val="18"/>
                    </w:rPr>
                    <w:t>MwSt. (</w:t>
                  </w:r>
                  <w:proofErr w:type="gramStart"/>
                  <w:r>
                    <w:rPr>
                      <w:rFonts w:ascii="Arial" w:hAnsi="Arial"/>
                      <w:b/>
                      <w:sz w:val="18"/>
                    </w:rPr>
                    <w:t>......%</w:t>
                  </w:r>
                  <w:proofErr w:type="gramEnd"/>
                  <w:r>
                    <w:rPr>
                      <w:rFonts w:ascii="Arial" w:hAnsi="Arial"/>
                      <w:b/>
                      <w:sz w:val="18"/>
                    </w:rPr>
                    <w:t>):</w:t>
                  </w:r>
                </w:p>
              </w:tc>
              <w:tc>
                <w:tcPr>
                  <w:tcW w:w="1100" w:type="dxa"/>
                  <w:tcBorders>
                    <w:bottom w:val="dotted" w:sz="13" w:space="0" w:color="000000"/>
                  </w:tcBorders>
                </w:tcPr>
                <w:p w:rsidR="003251FE" w:rsidRDefault="003251FE">
                  <w:pPr>
                    <w:keepNext/>
                    <w:keepLines/>
                    <w:spacing w:after="0" w:line="240" w:lineRule="auto"/>
                    <w:rPr>
                      <w:rFonts w:ascii="Arial"/>
                      <w:color w:val="000000"/>
                      <w:sz w:val="18"/>
                    </w:rPr>
                  </w:pPr>
                </w:p>
              </w:tc>
            </w:tr>
          </w:tbl>
          <w:p w:rsidR="003251FE" w:rsidRDefault="003251FE">
            <w:pPr>
              <w:spacing w:line="240" w:lineRule="auto"/>
            </w:pPr>
          </w:p>
        </w:tc>
      </w:tr>
      <w:tr w:rsidR="003251FE">
        <w:trPr>
          <w:jc w:val="right"/>
        </w:trPr>
        <w:tc>
          <w:tcPr>
            <w:tcW w:w="2500" w:type="dxa"/>
            <w:vAlign w:val="center"/>
          </w:tcPr>
          <w:p w:rsidR="003251FE" w:rsidRDefault="003251FE">
            <w:pPr>
              <w:keepNext/>
              <w:keepLines/>
              <w:spacing w:after="0" w:line="240" w:lineRule="auto"/>
              <w:rPr>
                <w:rFonts w:ascii="Arial"/>
                <w:color w:val="000000"/>
                <w:sz w:val="18"/>
              </w:rPr>
            </w:pPr>
          </w:p>
        </w:tc>
      </w:tr>
      <w:tr w:rsidR="003251FE">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3251FE">
              <w:tc>
                <w:tcPr>
                  <w:tcW w:w="1400" w:type="dxa"/>
                </w:tcPr>
                <w:p w:rsidR="003251FE" w:rsidRDefault="00DB0793">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Brutto</w:t>
                  </w:r>
                  <w:proofErr w:type="spellEnd"/>
                  <w:r>
                    <w:rPr>
                      <w:rFonts w:ascii="Arial" w:hAnsi="Arial"/>
                      <w:b/>
                      <w:sz w:val="18"/>
                    </w:rPr>
                    <w:t>:</w:t>
                  </w:r>
                </w:p>
              </w:tc>
              <w:tc>
                <w:tcPr>
                  <w:tcW w:w="1100" w:type="dxa"/>
                  <w:tcBorders>
                    <w:bottom w:val="dotted" w:sz="13" w:space="0" w:color="000000"/>
                  </w:tcBorders>
                </w:tcPr>
                <w:p w:rsidR="003251FE" w:rsidRDefault="003251FE">
                  <w:pPr>
                    <w:keepNext/>
                    <w:keepLines/>
                    <w:spacing w:after="0" w:line="240" w:lineRule="auto"/>
                    <w:rPr>
                      <w:rFonts w:ascii="Arial"/>
                      <w:color w:val="000000"/>
                      <w:sz w:val="18"/>
                    </w:rPr>
                  </w:pPr>
                </w:p>
              </w:tc>
            </w:tr>
          </w:tbl>
          <w:p w:rsidR="003251FE" w:rsidRDefault="003251FE">
            <w:pPr>
              <w:spacing w:line="240" w:lineRule="auto"/>
            </w:pPr>
          </w:p>
        </w:tc>
      </w:tr>
    </w:tbl>
    <w:p w:rsidR="00DB0793" w:rsidRDefault="00DB0793"/>
    <w:sectPr w:rsidR="00DB0793">
      <w:headerReference w:type="default" r:id="rId7"/>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8BC" w:rsidRDefault="003148BC">
      <w:pPr>
        <w:spacing w:after="0" w:line="240" w:lineRule="auto"/>
      </w:pPr>
      <w:r>
        <w:separator/>
      </w:r>
    </w:p>
  </w:endnote>
  <w:endnote w:type="continuationSeparator" w:id="0">
    <w:p w:rsidR="003148BC" w:rsidRDefault="0031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8BC" w:rsidRDefault="003148BC">
      <w:pPr>
        <w:spacing w:after="0" w:line="240" w:lineRule="auto"/>
      </w:pPr>
      <w:r>
        <w:separator/>
      </w:r>
    </w:p>
  </w:footnote>
  <w:footnote w:type="continuationSeparator" w:id="0">
    <w:p w:rsidR="003148BC" w:rsidRDefault="0031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1FE"/>
    <w:rsid w:val="003148BC"/>
    <w:rsid w:val="003251FE"/>
    <w:rsid w:val="007645DD"/>
    <w:rsid w:val="00D973AC"/>
    <w:rsid w:val="00DB0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A047"/>
  <w15:docId w15:val="{9C19CC16-E725-4C57-9540-4ADAAF5D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973AC"/>
    <w:rPr>
      <w:color w:val="0000FF"/>
      <w:u w:val="single"/>
    </w:rPr>
  </w:style>
  <w:style w:type="paragraph" w:styleId="Kopfzeile">
    <w:name w:val="header"/>
    <w:basedOn w:val="Standard"/>
    <w:link w:val="KopfzeileZchn"/>
    <w:uiPriority w:val="99"/>
    <w:unhideWhenUsed/>
    <w:rsid w:val="007645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45DD"/>
  </w:style>
  <w:style w:type="paragraph" w:styleId="Fuzeile">
    <w:name w:val="footer"/>
    <w:basedOn w:val="Standard"/>
    <w:link w:val="FuzeileZchn"/>
    <w:uiPriority w:val="99"/>
    <w:unhideWhenUsed/>
    <w:rsid w:val="007645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9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3</cp:revision>
  <dcterms:created xsi:type="dcterms:W3CDTF">2017-10-10T10:03:00Z</dcterms:created>
  <dcterms:modified xsi:type="dcterms:W3CDTF">2017-10-10T10:56:00Z</dcterms:modified>
</cp:coreProperties>
</file>