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AF" w:rsidRDefault="00A946CA" w:rsidP="00A946CA">
      <w:pPr>
        <w:pStyle w:val="Nagwek2"/>
        <w:numPr>
          <w:ilvl w:val="0"/>
          <w:numId w:val="8"/>
        </w:numPr>
        <w:autoSpaceDE w:val="0"/>
        <w:autoSpaceDN w:val="0"/>
        <w:adjustRightInd w:val="0"/>
        <w:rPr>
          <w:i/>
        </w:rPr>
      </w:pPr>
      <w:bookmarkStart w:id="0" w:name="_GoBack"/>
      <w:bookmarkEnd w:id="0"/>
      <w:r>
        <w:t>Façades made from thermally broken steel profiles – JANSEN VISS Basic</w:t>
      </w:r>
      <w:r w:rsidR="00AD7D4C">
        <w:t xml:space="preserve"> Façade</w:t>
      </w:r>
      <w:r>
        <w:rPr>
          <w:i/>
        </w:rPr>
        <w:br/>
      </w:r>
    </w:p>
    <w:p w:rsidR="00EC21AF" w:rsidRPr="004310DF" w:rsidRDefault="00EC21AF" w:rsidP="00EC21AF">
      <w:pPr>
        <w:ind w:left="720"/>
        <w:rPr>
          <w:b/>
          <w:color w:val="000000"/>
        </w:rPr>
      </w:pPr>
      <w:r>
        <w:rPr>
          <w:b/>
          <w:color w:val="000000"/>
        </w:rPr>
        <w:t>Profile system</w:t>
      </w:r>
    </w:p>
    <w:p w:rsidR="00EC21AF" w:rsidRDefault="00EC21AF" w:rsidP="00A42EC5">
      <w:pPr>
        <w:ind w:left="720"/>
      </w:pPr>
      <w:r>
        <w:rPr>
          <w:color w:val="000000"/>
        </w:rPr>
        <w:t xml:space="preserve">Thermally broken mullion/transom construction consisting of rolled or drawn hollow steel profiles arranged on the room side in accordance with the structural requirements. The profile cross sections are to be checked by the contractor from a structural point of view. Proof of structural integrity must be provided before construction. </w:t>
      </w:r>
      <w:r>
        <w:t xml:space="preserve">Glazing is held by means of screwed-on vertical and horizontal aluminium pressure plates. Pressure plates are covered horizontally and vertically by aluminium or stainless steel cover profiles. </w:t>
      </w:r>
    </w:p>
    <w:p w:rsidR="00EC21AF" w:rsidRDefault="00EC21AF" w:rsidP="00EC21AF">
      <w:pPr>
        <w:rPr>
          <w:color w:val="000000"/>
        </w:rPr>
      </w:pPr>
    </w:p>
    <w:p w:rsidR="00EC21AF" w:rsidRPr="004310DF" w:rsidRDefault="00EC21AF" w:rsidP="00EC21AF">
      <w:pPr>
        <w:ind w:left="720"/>
        <w:rPr>
          <w:b/>
        </w:rPr>
      </w:pPr>
      <w:r>
        <w:rPr>
          <w:b/>
        </w:rPr>
        <w:t>Load-bearing structure</w:t>
      </w:r>
    </w:p>
    <w:p w:rsidR="00EC21AF" w:rsidRPr="003C6370" w:rsidRDefault="00EC21AF" w:rsidP="003C6370">
      <w:pPr>
        <w:ind w:left="720"/>
        <w:rPr>
          <w:color w:val="000000"/>
        </w:rPr>
      </w:pPr>
      <w:r>
        <w:rPr>
          <w:color w:val="000000"/>
        </w:rPr>
        <w:t xml:space="preserve">Local welded studs and screw-in studs made from stainless steel are to be used with stainless steel screws as a connection between the load-bearing structure on the room side and the external pressure plates. </w:t>
      </w:r>
      <w:r>
        <w:t xml:space="preserve">Direct connections and thermal bridging must not arise between the internal load-bearing structure and the outer cover profiles. </w:t>
      </w:r>
    </w:p>
    <w:p w:rsidR="00EC21AF" w:rsidRDefault="00EC21AF" w:rsidP="00EC21AF">
      <w:pPr>
        <w:ind w:left="720" w:hanging="720"/>
      </w:pPr>
    </w:p>
    <w:p w:rsidR="00EC21AF" w:rsidRPr="009E5493" w:rsidRDefault="00EC21AF" w:rsidP="00EC21AF">
      <w:pPr>
        <w:ind w:left="720"/>
        <w:rPr>
          <w:b/>
        </w:rPr>
      </w:pPr>
      <w:r>
        <w:rPr>
          <w:b/>
        </w:rPr>
        <w:t>Drainage level</w:t>
      </w:r>
    </w:p>
    <w:p w:rsidR="00EC21AF" w:rsidRDefault="00EC21AF" w:rsidP="00EC21AF">
      <w:pPr>
        <w:ind w:left="720"/>
        <w:rPr>
          <w:color w:val="000000"/>
        </w:rPr>
      </w:pPr>
      <w:r>
        <w:rPr>
          <w:color w:val="000000"/>
        </w:rPr>
        <w:t xml:space="preserve">Glazing </w:t>
      </w:r>
      <w:proofErr w:type="spellStart"/>
      <w:r>
        <w:rPr>
          <w:color w:val="000000"/>
        </w:rPr>
        <w:t>weatherstrip</w:t>
      </w:r>
      <w:proofErr w:type="spellEnd"/>
      <w:r>
        <w:rPr>
          <w:color w:val="000000"/>
        </w:rPr>
        <w:t xml:space="preserve"> made from continuous EPDM </w:t>
      </w:r>
      <w:proofErr w:type="spellStart"/>
      <w:r>
        <w:rPr>
          <w:color w:val="000000"/>
        </w:rPr>
        <w:t>weatherstrips</w:t>
      </w:r>
      <w:proofErr w:type="spellEnd"/>
      <w:r>
        <w:rPr>
          <w:color w:val="000000"/>
        </w:rPr>
        <w:t xml:space="preserve"> on the inside and outside. </w:t>
      </w:r>
      <w:proofErr w:type="spellStart"/>
      <w:r>
        <w:rPr>
          <w:color w:val="000000"/>
        </w:rPr>
        <w:t>Weatherstrip</w:t>
      </w:r>
      <w:proofErr w:type="spellEnd"/>
      <w:r>
        <w:rPr>
          <w:color w:val="000000"/>
        </w:rPr>
        <w:t xml:space="preserve"> joints overlap. </w:t>
      </w:r>
      <w:r>
        <w:t xml:space="preserve">The EPDM internal </w:t>
      </w:r>
      <w:proofErr w:type="spellStart"/>
      <w:r>
        <w:t>weatherstrips</w:t>
      </w:r>
      <w:proofErr w:type="spellEnd"/>
      <w:r>
        <w:t xml:space="preserve">, which are to be installed on the welded studs and screw-in studs of the load-bearing structure by means of local perforation, block water and air movement for the glazing rebate. </w:t>
      </w:r>
      <w:r>
        <w:rPr>
          <w:color w:val="000000"/>
        </w:rPr>
        <w:t xml:space="preserve">The horizontal </w:t>
      </w:r>
      <w:proofErr w:type="spellStart"/>
      <w:r>
        <w:rPr>
          <w:color w:val="000000"/>
        </w:rPr>
        <w:t>weatherstrip</w:t>
      </w:r>
      <w:proofErr w:type="spellEnd"/>
      <w:r>
        <w:rPr>
          <w:color w:val="000000"/>
        </w:rPr>
        <w:t xml:space="preserve"> with </w:t>
      </w:r>
      <w:proofErr w:type="spellStart"/>
      <w:r>
        <w:rPr>
          <w:color w:val="000000"/>
        </w:rPr>
        <w:t>weatherstrip</w:t>
      </w:r>
      <w:proofErr w:type="spellEnd"/>
      <w:r>
        <w:rPr>
          <w:color w:val="000000"/>
        </w:rPr>
        <w:t xml:space="preserve"> lips is continuous, whereby the top glass edge seal is covered. The vertical </w:t>
      </w:r>
      <w:proofErr w:type="spellStart"/>
      <w:r>
        <w:rPr>
          <w:color w:val="000000"/>
        </w:rPr>
        <w:t>weatherstrip</w:t>
      </w:r>
      <w:proofErr w:type="spellEnd"/>
      <w:r>
        <w:rPr>
          <w:color w:val="000000"/>
        </w:rPr>
        <w:t xml:space="preserve"> is inserted in between. The </w:t>
      </w:r>
      <w:proofErr w:type="spellStart"/>
      <w:r>
        <w:rPr>
          <w:color w:val="000000"/>
        </w:rPr>
        <w:t>weatherstrip</w:t>
      </w:r>
      <w:proofErr w:type="spellEnd"/>
      <w:r>
        <w:rPr>
          <w:color w:val="000000"/>
        </w:rPr>
        <w:t xml:space="preserve"> joints in the intersection points, T-joints and corner points must be sealed carefully using a suitable adhesive and sealing compound.</w:t>
      </w:r>
    </w:p>
    <w:p w:rsidR="00EC21AF" w:rsidRDefault="00EC21AF" w:rsidP="00EC21AF">
      <w:pPr>
        <w:ind w:left="720"/>
        <w:rPr>
          <w:color w:val="000000"/>
        </w:rPr>
      </w:pPr>
    </w:p>
    <w:p w:rsidR="00EC21AF" w:rsidRPr="00341ACB" w:rsidRDefault="00EC21AF" w:rsidP="00EC21AF">
      <w:pPr>
        <w:ind w:left="720"/>
        <w:rPr>
          <w:b/>
          <w:color w:val="000000"/>
        </w:rPr>
      </w:pPr>
      <w:r>
        <w:rPr>
          <w:b/>
          <w:color w:val="000000"/>
        </w:rPr>
        <w:t>Glass support</w:t>
      </w:r>
    </w:p>
    <w:p w:rsidR="00EC21AF" w:rsidRDefault="00EC21AF" w:rsidP="00EC21AF">
      <w:pPr>
        <w:ind w:left="720"/>
        <w:rPr>
          <w:color w:val="000000"/>
        </w:rPr>
      </w:pPr>
      <w:r>
        <w:rPr>
          <w:color w:val="000000"/>
        </w:rPr>
        <w:t>Load-bearing anchors made from stainless steel with aluminium rebate supports, a glass fibre-reinforced glass support profile, or welded flat steel as well as plastic support blocks must be used in the glass support area for load transfer. The arrangement must be carried out in accordance with the regulations of the system and glazing manufacturer. Infill unit thicknesses from 6 to 70 mm can be used.</w:t>
      </w:r>
    </w:p>
    <w:p w:rsidR="00EC21AF" w:rsidRDefault="00EC21AF" w:rsidP="00EC21AF">
      <w:pPr>
        <w:ind w:left="720" w:hanging="720"/>
        <w:rPr>
          <w:color w:val="000000"/>
        </w:rPr>
      </w:pPr>
    </w:p>
    <w:p w:rsidR="00EC21AF" w:rsidRPr="00B94B0C" w:rsidRDefault="00EC21AF" w:rsidP="00EC21AF">
      <w:pPr>
        <w:ind w:left="720"/>
        <w:rPr>
          <w:b/>
          <w:color w:val="000000"/>
        </w:rPr>
      </w:pPr>
      <w:r>
        <w:rPr>
          <w:b/>
          <w:color w:val="000000"/>
        </w:rPr>
        <w:t>Ventilation and drainage</w:t>
      </w:r>
    </w:p>
    <w:p w:rsidR="00EC21AF" w:rsidRDefault="00EC21AF" w:rsidP="00EC21AF">
      <w:pPr>
        <w:ind w:left="720"/>
        <w:rPr>
          <w:color w:val="000000"/>
        </w:rPr>
      </w:pPr>
      <w:r>
        <w:rPr>
          <w:color w:val="000000"/>
        </w:rPr>
        <w:t xml:space="preserve">Rebate base ventilation and drainage of the glazing rebate is carried out to the outside, field by field, by means of deflector blocks in the transom area above the mullion area. The base point in the attachment to building structure area must be designed such that correct ventilation and drainage of the glazing rebate is guaranteed. </w:t>
      </w:r>
    </w:p>
    <w:p w:rsidR="00EC21AF" w:rsidRDefault="00EC21AF" w:rsidP="00EC21AF">
      <w:pPr>
        <w:ind w:left="720"/>
        <w:rPr>
          <w:color w:val="000000"/>
        </w:rPr>
      </w:pPr>
    </w:p>
    <w:p w:rsidR="00EC21AF" w:rsidRDefault="00EC21AF" w:rsidP="00EC21AF">
      <w:pPr>
        <w:ind w:left="720"/>
        <w:rPr>
          <w:b/>
        </w:rPr>
      </w:pPr>
      <w:r>
        <w:rPr>
          <w:b/>
        </w:rPr>
        <w:t>Structural requirements</w:t>
      </w:r>
    </w:p>
    <w:p w:rsidR="00EC21AF" w:rsidRPr="003C6370" w:rsidRDefault="00EC21AF" w:rsidP="00EC21AF">
      <w:pPr>
        <w:ind w:left="720"/>
        <w:rPr>
          <w:bCs/>
        </w:rPr>
      </w:pPr>
      <w:r>
        <w:t>The following minimum requirements for the façade must be strictly observed.</w:t>
      </w:r>
    </w:p>
    <w:p w:rsidR="00EC21AF" w:rsidRPr="003C6370" w:rsidRDefault="00EC21AF" w:rsidP="00261559">
      <w:pPr>
        <w:tabs>
          <w:tab w:val="left" w:pos="4820"/>
          <w:tab w:val="right" w:pos="7560"/>
        </w:tabs>
      </w:pPr>
    </w:p>
    <w:p w:rsidR="00EC21AF" w:rsidRPr="003C6370" w:rsidRDefault="00EC21AF" w:rsidP="00EC21AF">
      <w:pPr>
        <w:tabs>
          <w:tab w:val="left" w:pos="709"/>
          <w:tab w:val="left" w:pos="5812"/>
        </w:tabs>
      </w:pPr>
      <w:r>
        <w:tab/>
        <w:t>Air permeability in accordance with EN 12152</w:t>
      </w:r>
      <w:r>
        <w:tab/>
        <w:t> up to class AE</w:t>
      </w:r>
    </w:p>
    <w:p w:rsidR="00EC21AF" w:rsidRPr="003C6370" w:rsidRDefault="00EC21AF" w:rsidP="00EC21AF">
      <w:pPr>
        <w:tabs>
          <w:tab w:val="left" w:pos="709"/>
          <w:tab w:val="left" w:pos="5812"/>
        </w:tabs>
      </w:pPr>
      <w:r>
        <w:tab/>
      </w:r>
      <w:proofErr w:type="spellStart"/>
      <w:r>
        <w:t>Watertightness</w:t>
      </w:r>
      <w:proofErr w:type="spellEnd"/>
      <w:r>
        <w:t xml:space="preserve"> in accordance with EN 12154  </w:t>
      </w:r>
      <w:r>
        <w:tab/>
        <w:t xml:space="preserve"> up to class RE 1200</w:t>
      </w:r>
    </w:p>
    <w:p w:rsidR="00EC21AF" w:rsidRPr="003C6370" w:rsidRDefault="00EC21AF" w:rsidP="00EC21AF">
      <w:pPr>
        <w:tabs>
          <w:tab w:val="left" w:pos="709"/>
          <w:tab w:val="left" w:pos="5812"/>
        </w:tabs>
      </w:pPr>
      <w:r>
        <w:tab/>
        <w:t>Resistance to wind load, EN13116</w:t>
      </w:r>
      <w:r>
        <w:tab/>
      </w:r>
      <w:r w:rsidR="00CF349B">
        <w:t xml:space="preserve"> </w:t>
      </w:r>
      <w:r>
        <w:t xml:space="preserve">up to 2 </w:t>
      </w:r>
      <w:proofErr w:type="spellStart"/>
      <w:r>
        <w:t>kN</w:t>
      </w:r>
      <w:proofErr w:type="spellEnd"/>
      <w:r>
        <w:t>/m</w:t>
      </w:r>
      <w:r>
        <w:rPr>
          <w:vertAlign w:val="superscript"/>
        </w:rPr>
        <w:t>2</w:t>
      </w:r>
    </w:p>
    <w:p w:rsidR="00EC21AF" w:rsidRPr="003C6370" w:rsidRDefault="00EC21AF" w:rsidP="00EC21AF">
      <w:pPr>
        <w:tabs>
          <w:tab w:val="left" w:pos="709"/>
          <w:tab w:val="left" w:pos="5812"/>
        </w:tabs>
      </w:pPr>
      <w:r>
        <w:tab/>
        <w:t>Impact resistance, EN14019</w:t>
      </w:r>
      <w:r>
        <w:tab/>
      </w:r>
      <w:r w:rsidR="00CF349B">
        <w:t xml:space="preserve"> </w:t>
      </w:r>
      <w:r>
        <w:t>up to class E5/I5</w:t>
      </w:r>
    </w:p>
    <w:p w:rsidR="00D919C2" w:rsidRPr="003C6370" w:rsidRDefault="00AD7D4C" w:rsidP="00BB2677">
      <w:pPr>
        <w:tabs>
          <w:tab w:val="left" w:pos="3780"/>
        </w:tabs>
        <w:ind w:left="708"/>
        <w:rPr>
          <w:rFonts w:cs="Arial"/>
          <w:lang w:val="de-DE"/>
        </w:rPr>
      </w:pPr>
      <w:r>
        <w:rPr>
          <w:noProof/>
          <w:lang w:val="pl-PL" w:eastAsia="pl-PL"/>
        </w:rPr>
        <w:drawing>
          <wp:anchor distT="0" distB="0" distL="114300" distR="114300" simplePos="0" relativeHeight="251658240" behindDoc="1" locked="0" layoutInCell="1" allowOverlap="1" wp14:anchorId="0FD54F09" wp14:editId="0545BA81">
            <wp:simplePos x="0" y="0"/>
            <wp:positionH relativeFrom="column">
              <wp:posOffset>2013585</wp:posOffset>
            </wp:positionH>
            <wp:positionV relativeFrom="paragraph">
              <wp:posOffset>120650</wp:posOffset>
            </wp:positionV>
            <wp:extent cx="2286000" cy="2039620"/>
            <wp:effectExtent l="0" t="0" r="0" b="0"/>
            <wp:wrapTight wrapText="bothSides">
              <wp:wrapPolygon edited="0">
                <wp:start x="0" y="0"/>
                <wp:lineTo x="0" y="21385"/>
                <wp:lineTo x="21420" y="21385"/>
                <wp:lineTo x="2142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1" b="2755"/>
                    <a:stretch/>
                  </pic:blipFill>
                  <pic:spPr bwMode="auto">
                    <a:xfrm>
                      <a:off x="0" y="0"/>
                      <a:ext cx="2286000" cy="2039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919C2" w:rsidRPr="003C6370" w:rsidSect="00D919C2">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28F" w:rsidRDefault="0077728F">
      <w:r>
        <w:separator/>
      </w:r>
    </w:p>
  </w:endnote>
  <w:endnote w:type="continuationSeparator" w:id="0">
    <w:p w:rsidR="0077728F" w:rsidRDefault="0077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CF349B" w:rsidRDefault="00322FC6" w:rsidP="00322FC6">
    <w:pPr>
      <w:pStyle w:val="Stopka"/>
      <w:pBdr>
        <w:top w:val="single" w:sz="4" w:space="1" w:color="auto"/>
      </w:pBdr>
      <w:tabs>
        <w:tab w:val="clear" w:pos="9072"/>
        <w:tab w:val="right" w:pos="9360"/>
      </w:tabs>
      <w:rPr>
        <w:rFonts w:cs="Arial"/>
        <w:sz w:val="20"/>
      </w:rPr>
    </w:pPr>
    <w:r>
      <w:rPr>
        <w:rFonts w:cs="Arial"/>
        <w:color w:val="FF0000"/>
        <w:sz w:val="20"/>
      </w:rPr>
      <w:t>06/07/13</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Pr="00CF349B">
      <w:rPr>
        <w:rFonts w:cs="Arial"/>
        <w:sz w:val="20"/>
      </w:rPr>
      <w:instrText xml:space="preserve"> PAGE </w:instrText>
    </w:r>
    <w:r>
      <w:rPr>
        <w:rFonts w:cs="Arial"/>
        <w:sz w:val="20"/>
        <w:lang w:val="de-DE"/>
      </w:rPr>
      <w:fldChar w:fldCharType="separate"/>
    </w:r>
    <w:r w:rsidR="00C62CDC">
      <w:rPr>
        <w:rFonts w:cs="Arial"/>
        <w:noProof/>
        <w:sz w:val="20"/>
      </w:rPr>
      <w:t>1</w:t>
    </w:r>
    <w:r>
      <w:fldChar w:fldCharType="end"/>
    </w:r>
    <w:r>
      <w:rPr>
        <w:rFonts w:cs="Arial"/>
        <w:sz w:val="20"/>
      </w:rPr>
      <w:t xml:space="preserve"> of </w:t>
    </w:r>
    <w:r>
      <w:fldChar w:fldCharType="begin"/>
    </w:r>
    <w:r w:rsidRPr="00CF349B">
      <w:rPr>
        <w:rFonts w:cs="Arial"/>
        <w:sz w:val="20"/>
      </w:rPr>
      <w:instrText xml:space="preserve"> NUMPAGES </w:instrText>
    </w:r>
    <w:r>
      <w:rPr>
        <w:rFonts w:cs="Arial"/>
        <w:sz w:val="20"/>
        <w:lang w:val="de-DE"/>
      </w:rPr>
      <w:fldChar w:fldCharType="separate"/>
    </w:r>
    <w:r w:rsidR="00C62CDC">
      <w:rPr>
        <w:rFonts w:cs="Arial"/>
        <w:noProof/>
        <w:sz w:val="20"/>
      </w:rPr>
      <w:t>1</w:t>
    </w:r>
    <w:r>
      <w:fldChar w:fldCharType="end"/>
    </w:r>
  </w:p>
  <w:p w:rsidR="00531A92" w:rsidRDefault="00531A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28F" w:rsidRDefault="0077728F">
      <w:r>
        <w:separator/>
      </w:r>
    </w:p>
  </w:footnote>
  <w:footnote w:type="continuationSeparator" w:id="0">
    <w:p w:rsidR="0077728F" w:rsidRDefault="0077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568A3"/>
    <w:multiLevelType w:val="hybridMultilevel"/>
    <w:tmpl w:val="67F0F05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97750"/>
    <w:rsid w:val="000F6DD4"/>
    <w:rsid w:val="00106731"/>
    <w:rsid w:val="001533EB"/>
    <w:rsid w:val="001754FC"/>
    <w:rsid w:val="002010F6"/>
    <w:rsid w:val="00201661"/>
    <w:rsid w:val="0026142C"/>
    <w:rsid w:val="00261559"/>
    <w:rsid w:val="002F1D0A"/>
    <w:rsid w:val="00322FC6"/>
    <w:rsid w:val="00381720"/>
    <w:rsid w:val="003A7DF9"/>
    <w:rsid w:val="003C6370"/>
    <w:rsid w:val="003D5774"/>
    <w:rsid w:val="004418F4"/>
    <w:rsid w:val="004876E3"/>
    <w:rsid w:val="004B43A2"/>
    <w:rsid w:val="00531A92"/>
    <w:rsid w:val="00540764"/>
    <w:rsid w:val="00573897"/>
    <w:rsid w:val="00574D07"/>
    <w:rsid w:val="005A35E2"/>
    <w:rsid w:val="005A3EDF"/>
    <w:rsid w:val="006005FC"/>
    <w:rsid w:val="006167D8"/>
    <w:rsid w:val="0065129E"/>
    <w:rsid w:val="006547E5"/>
    <w:rsid w:val="006A377D"/>
    <w:rsid w:val="006C5F66"/>
    <w:rsid w:val="006D4F26"/>
    <w:rsid w:val="007145E0"/>
    <w:rsid w:val="007402D3"/>
    <w:rsid w:val="0077728F"/>
    <w:rsid w:val="0078493D"/>
    <w:rsid w:val="007A61E7"/>
    <w:rsid w:val="00816CCE"/>
    <w:rsid w:val="0082457E"/>
    <w:rsid w:val="00843977"/>
    <w:rsid w:val="009761A0"/>
    <w:rsid w:val="00A01F56"/>
    <w:rsid w:val="00A42EC5"/>
    <w:rsid w:val="00A65499"/>
    <w:rsid w:val="00A76A56"/>
    <w:rsid w:val="00A946CA"/>
    <w:rsid w:val="00AD7D4C"/>
    <w:rsid w:val="00B039E1"/>
    <w:rsid w:val="00B140B1"/>
    <w:rsid w:val="00B45640"/>
    <w:rsid w:val="00BB2677"/>
    <w:rsid w:val="00BB4611"/>
    <w:rsid w:val="00C62CDC"/>
    <w:rsid w:val="00CD0B21"/>
    <w:rsid w:val="00CE2937"/>
    <w:rsid w:val="00CE406C"/>
    <w:rsid w:val="00CF349B"/>
    <w:rsid w:val="00CF4DD8"/>
    <w:rsid w:val="00D83665"/>
    <w:rsid w:val="00D919C2"/>
    <w:rsid w:val="00E22449"/>
    <w:rsid w:val="00EC21AF"/>
    <w:rsid w:val="00EF16BA"/>
    <w:rsid w:val="00F673C6"/>
    <w:rsid w:val="00FA05D9"/>
    <w:rsid w:val="00FB27E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3086-270F-4AC5-8039-8A2A9ADB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2363</Characters>
  <Application>Microsoft Office Word</Application>
  <DocSecurity>0</DocSecurity>
  <Lines>19</Lines>
  <Paragraphs>5</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JAG</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2013-11-28T13:01:00Z</cp:lastPrinted>
  <dcterms:created xsi:type="dcterms:W3CDTF">2018-06-30T12:19:00Z</dcterms:created>
  <dcterms:modified xsi:type="dcterms:W3CDTF">2018-06-30T12:19:00Z</dcterms:modified>
</cp:coreProperties>
</file>